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MODELO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MAPA DE RISCOS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O mapa de riscos tem por fim identificar os possíveis riscos que o processo de contratação possa vir a ser submetido. Assim, são estudadas as ações de prevenção para cada risco identificado, bem como as ações de contingência, caso o dano venha a ocorrer. Para cada risco deve ser feita uma tabela tal qual apresentada abaixo.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center"/>
        <w:tblLayout w:type="fixed"/>
        <w:tblLook w:val="0400"/>
      </w:tblPr>
      <w:tblGrid>
        <w:gridCol w:w="1875"/>
        <w:gridCol w:w="1"/>
        <w:gridCol w:w="4178"/>
        <w:gridCol w:w="2775"/>
        <w:tblGridChange w:id="0">
          <w:tblGrid>
            <w:gridCol w:w="1875"/>
            <w:gridCol w:w="1"/>
            <w:gridCol w:w="4178"/>
            <w:gridCol w:w="2775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gridSpan w:val="4"/>
            <w:shd w:fill="59595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4"/>
                <w:szCs w:val="24"/>
                <w:rtl w:val="0"/>
              </w:rPr>
              <w:t xml:space="preserve">FASE DE ANÁLISE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Exemplo: Planejamento da Contratação e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Seleção do Fornecedor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RISCO 01 – Deserção/Fracasso (exemplo)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gridSpan w:val="2"/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Probabilidade: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8" w:val="single"/>
              <w:left w:color="000000" w:space="0" w:sz="0" w:val="nil"/>
              <w:bottom w:color="000000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) Baixa   (  ) Média    (  ) Alta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gridSpan w:val="2"/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0000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Impacto: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(  ) Baixo    (  ) Médio    (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) Alto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4"/>
                <w:szCs w:val="24"/>
                <w:rtl w:val="0"/>
              </w:rPr>
              <w:t xml:space="preserve">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Dano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333333" w:space="0" w:sz="8" w:val="single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Informar qual o dano pode ser gerado.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Exemplo: demanda não solucionada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4"/>
                <w:szCs w:val="24"/>
                <w:rtl w:val="0"/>
              </w:rPr>
              <w:t xml:space="preserve">Id</w:t>
            </w:r>
          </w:p>
        </w:tc>
        <w:tc>
          <w:tcPr>
            <w:gridSpan w:val="2"/>
            <w:tcBorders>
              <w:top w:color="333333" w:space="0" w:sz="8" w:val="single"/>
              <w:left w:color="000000" w:space="0" w:sz="0" w:val="nil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Ação Preventiva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Estudar a demanda e compreender bem como solucioná-la, de modo a conhecer o mercado, as soluções disponíveis e estimar o preço adequado.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Equipe/setor de planejamento e fiscal do contrato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Fazer levantamento do histórico das contratações anteriores para analisar os problemas enfrentados e as respostas utilizadas.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Equipe/setor de planejamento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4"/>
                <w:szCs w:val="24"/>
                <w:rtl w:val="0"/>
              </w:rPr>
              <w:t xml:space="preserve">Id</w:t>
            </w:r>
          </w:p>
        </w:tc>
        <w:tc>
          <w:tcPr>
            <w:gridSpan w:val="2"/>
            <w:tcBorders>
              <w:top w:color="333333" w:space="0" w:sz="8" w:val="single"/>
              <w:left w:color="000000" w:space="0" w:sz="0" w:val="nil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Ação de Contingência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Rever todos os atos praticados para o fim de encontrar o motivo que deu origem à deserção ou ao fracasso.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Equipe/setor de planejamento e Pregoeiro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Aproveitar os atos administrativos ainda válidos para agilizar a nova disputa.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3333" w:space="0" w:sz="8" w:val="single"/>
              <w:right w:color="333333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color w:val="0070c0"/>
                <w:sz w:val="24"/>
                <w:szCs w:val="24"/>
                <w:rtl w:val="0"/>
              </w:rPr>
              <w:t xml:space="preserve">Equipe/setor de planejamento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10" w:firstLine="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É preciso avaliar a probabilidade de o risco ocorrer naquela licitação. O histórico das licitações anteriores será de grande valia para mensurar a probabilidade. Do mesmo modo, deve ser indicado qual o nível de impacto o risco pode gerar. A partir destes dados, os riscos mais sérios serão priorizados e as ações de prevenção e de contingência estudadas.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É possível considerar que, no exemplo indicado, o impacto decorrente de uma licitação deserta ou fracassada seja alto. Ora, a consequência é não solucionar a demanda aberta, em face da perda da licitação. No entanto, cada processo possui seu contexto, o que permite outras avaliações de impacto.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8" w:top="1418" w:left="1418" w:right="141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1D83"/>
    <w:pPr>
      <w:spacing w:after="160" w:line="259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411D83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411D8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11D83"/>
  </w:style>
  <w:style w:type="paragraph" w:styleId="Rodap">
    <w:name w:val="footer"/>
    <w:basedOn w:val="Normal"/>
    <w:link w:val="RodapChar"/>
    <w:uiPriority w:val="99"/>
    <w:unhideWhenUsed w:val="1"/>
    <w:rsid w:val="00411D8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11D83"/>
  </w:style>
  <w:style w:type="character" w:styleId="Refdecomentrio">
    <w:name w:val="annotation reference"/>
    <w:basedOn w:val="Fontepargpadro"/>
    <w:uiPriority w:val="99"/>
    <w:semiHidden w:val="1"/>
    <w:unhideWhenUsed w:val="1"/>
    <w:rsid w:val="00B378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378C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378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378C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378CC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378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378C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JBGn4fXj+6+x180bot5xkxUE3w==">CgMxLjA4AHIhMU5PbTVGakFuUUtxdzd4TC1Tc09Mam1aZDBFbUNZNGdt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2023-02-17T15:06:00Z</dcterms:created>
  <dc:creator>Bruno Maciel de Santana</dc:creator>
</cp:coreProperties>
</file>